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2024年卫生健康和医疗服务与保障能力提升转移支付省级补助资金【（定向培养一批）榕财社（指）【2024】41号】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充实基层卫生人才队伍建设，采取定向委培的方式，培养一批基层医疗卫生人才。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充实基层卫生人才队伍建设，培养一批基层医疗卫生人才。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低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1)项目投入成本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1.19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1)因补贴未及时发放引起的纠纷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1)服务对象满意度指标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因指标不足以支付全部学生的学费及生活费等相关费用，故本指标结转下年使用。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因指标不足以支付全部学生的学费及生活费等相关费用，故本指标结转下年使用。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因指标不足以支付全部学生的学费及生活费等相关费用，故本指标结转下年使用。可加强财政沟通，保证指标及时下达。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因指标不足以支付全部学生的学费及生活费等相关费用，故本指标结转下年使用。可加强财政沟通，保证指标及时下达。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