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（直达资金)2024年医疗服务与保障能力提升补助资金【（公立医院综合改革）闽财社指【2024】26号】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补助资金主要用于优化内部服务设施及医院信息化软件系统等，推进预约诊疗服务，畅通急诊绿色通达，改善患者就医体验，提升患者治疗满意度。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优化内部服务设施及医院信息化软件系统等，推进预约诊疗服务，畅通急诊绿色通达，改善患者就医体验，提升患者治疗满意度。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1)公立医院医疗服务收入（不含药品、耗材、检查、化验收入）占医疗收入比例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35.02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36.05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1)公立医院资产负债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47.77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48.89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2)实现收支平衡的公立医院数占公立医院总数的比例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19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1)公立医院次均门诊费用增幅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-0.57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-6.58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2)公立医院人均住院费用增幅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-14.13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-2.86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3)出院患者满意度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91.76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部分指标未达到目标值，如公立医院人均住院费用增长情况、公立医院资产负债情况。。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部分指标未达到目标值，如公立医院人均住院费用增长情况。下年可根据项目进展，控制相关费用的增长。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