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 xml:space="preserve">2024年卫生健康专项省级补助资金（第一批）【（妇幼健康监测）榕财社（指）【2023】151号】    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出生缺陷医院监测补助资金.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出生缺陷医院监测补助资金.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1)补助医院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1)项目资金及时拨付率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1)申请和支付过程中是否有弄虚作假的情况发生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因项目正在进行中，故截止2024年底财政资金尚未支出，本项目财政资金预计于2025年支出。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因项目正在进行中，故截止2024年底财政资金尚未支出，本项目财政资金预计于2025年支出。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认真审核项目立项合理性，加大项目资金使用进程，加强项目进展沟通，推进财政资金及时指出。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认真审核项目立项合理性，加大项目资金使用进程，加强项目进展沟通，推进财政资金及时指出。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