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 xml:space="preserve">（直达资金）2024年第二批基本药物制度补助资金（村卫生所）（闽财社指（2024）24号、赵批2024财168号）					</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					</w:t>
        <w:cr/>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全县基层医疗卫生机构全面实施国家基本药物制度，所有药品实施零差率销售。药品成本得到有效控制，减轻病人用药负担，稳步推进医改工作。																					</w:t>
        <w:c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 xml:space="preserve">1)实施基本药物制度的省级财政投入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0.1088</w:t>
      </w:r>
      <w:r>
        <w:rPr>
          <w:rFonts w:ascii="仿宋" w:hAnsi="仿宋" w:cs="仿宋" w:eastAsia="仿宋"/>
          <w:sz w:val="32"/>
        </w:rPr>
        <w:t>，完成值</w:t>
      </w:r>
      <w:r>
        <w:rPr>
          <w:rFonts w:ascii="仿宋" w:hAnsi="仿宋" w:cs="仿宋" w:eastAsia="仿宋"/>
          <w:sz w:val="32"/>
        </w:rPr>
        <w:t>0.1088</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1)实施基本药物制度的政府办基层医疗机构占比</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1)资金合规率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1)国家基本药物制度在基层持续实施</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1)对基本药物制度补助满意度</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90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