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（直达资金）2024年第二批基本药物制度补助资金（村卫生所）（闽财社指（2024）24号、赵批2024财168号）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为支持基层医疗卫生机构实施国家基本药物制度而设立的专项补助资金，对政府办社区卫生服务中心（站）和乡镇卫生院，专项补助资金主要用于核定收支后的经常性收支差额补助、推进基层医疗卫生机构综合改革等符合政府卫生投入政策规定的支出；对在实施基本药物制度的村卫生（室）执业的乡村医生，专项补助资金主要用于乡村医生的收入补助。</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全县基层医疗卫生机构全面实施国家基本药物制度，所有药品实施零差率销售。药品成本得到有效控制，减轻病人用药负担，稳步推进医改工作。</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1)实施基本医药制度的村卫生室县级财政投入</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0.5608</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1)实施国家基本药物制度的村卫生室占比</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1)资金合规率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95</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1)因资金未及时支付引起的纠纷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1)对基本药物制度补助满意度</w:t>
      </w:r>
      <w:r>
        <w:rPr>
          <w:rFonts w:ascii="仿宋" w:hAnsi="仿宋" w:cs="仿宋" w:eastAsia="仿宋"/>
          <w:sz w:val="32"/>
        </w:rPr>
        <w:t>(</w:t>
      </w:r>
      <w:r>
        <w:rPr>
          <w:rFonts w:ascii="仿宋" w:hAnsi="仿宋" w:cs="仿宋" w:eastAsia="仿宋"/>
          <w:sz w:val="32"/>
        </w:rPr>
        <w:t>分</w:t>
      </w:r>
      <w:r>
        <w:rPr>
          <w:rFonts w:ascii="仿宋" w:hAnsi="仿宋" w:cs="仿宋" w:eastAsia="仿宋"/>
          <w:sz w:val="32"/>
        </w:rPr>
        <w:t>)，目标值</w:t>
      </w:r>
      <w:r>
        <w:rPr>
          <w:rFonts w:ascii="仿宋" w:hAnsi="仿宋" w:cs="仿宋" w:eastAsia="仿宋"/>
          <w:sz w:val="32"/>
        </w:rPr>
        <w:t>80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