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（直达资金）2024年基本公共卫生服务补助资金（闽财社指（2024）25号、赵批2024财171号）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为城乡居民提供基本医疗服务和基本公共卫生服务，运用适宜医疗技术和药物，开展常见病、多发病诊疗，接治转诊;推广应用适宜医疗技术，贯彻落实医疗卫生改革方针政策，管理辖区内的行政村卫生所；承担临床医疗、 预防保健、健康教育、公共卫生、家庭医生签约服务、应急救援保障等医疗和公共服务工作；对村级医务人员业务培训、医务人员继续教育等工作；承担全镇医疗服务和公共卫生服务监督与指导工作；落实全民健康管理和家庭医生签约服务工作，为人民群众提供全方位、全生命周期的健康服务，促进“以病人为中心”向“以健康为中心”转变。</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25.1605</w:t>
      </w:r>
      <w:r>
        <w:rPr>
          <w:rFonts w:ascii="仿宋" w:hAnsi="仿宋" w:cs="仿宋" w:eastAsia="仿宋"/>
          <w:sz w:val="32"/>
        </w:rPr>
        <w:t>，完成值</w:t>
      </w:r>
      <w:r>
        <w:rPr>
          <w:rFonts w:ascii="仿宋" w:hAnsi="仿宋" w:cs="仿宋" w:eastAsia="仿宋"/>
          <w:sz w:val="32"/>
        </w:rPr>
        <w:t>25.1605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26000</w:t>
      </w:r>
      <w:r>
        <w:rPr>
          <w:rFonts w:ascii="仿宋" w:hAnsi="仿宋" w:cs="仿宋" w:eastAsia="仿宋"/>
          <w:sz w:val="32"/>
        </w:rPr>
        <w:t>，完成值</w:t>
      </w:r>
      <w:r>
        <w:rPr>
          <w:rFonts w:ascii="仿宋" w:hAnsi="仿宋" w:cs="仿宋" w:eastAsia="仿宋"/>
          <w:sz w:val="32"/>
        </w:rPr>
        <w:t>27900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1)申请和支付过程中是否有弄虚作假的情况发生</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