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xml:space="preserve">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确保基层医疗卫生机构按要求实施基本药物制度，推进基本药物制度在村卫生室顺利实施，进一步提高基层医疗卫生机构服务质量，在县城内稳步推进紧密型医共体等基层卫生综合改革。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1.4368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