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（直达资金）2024年第二批基本药物制度补助资金（乡镇卫生院）（闽财社指（2024）24号、赵批2024财168号）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													</w:t>
        <w:c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xml:space="preserve">														</w:t>
        <w:cr/>
        <w:t xml:space="preserve">"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确保基层医疗卫生机构按要求实施基本药物制度，推进基本药物制度在村卫生室顺利实施，进一步提高基层医疗卫生机构服务质量，在县城内稳步推进紧密型医共体等基层卫生综合改革。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0.1964</w:t>
      </w:r>
      <w:r>
        <w:rPr>
          <w:rFonts w:ascii="仿宋" w:hAnsi="仿宋" w:cs="仿宋" w:eastAsia="仿宋"/>
          <w:sz w:val="32"/>
        </w:rPr>
        <w:t>，完成值</w:t>
      </w:r>
      <w:r>
        <w:rPr>
          <w:rFonts w:ascii="仿宋" w:hAnsi="仿宋" w:cs="仿宋" w:eastAsia="仿宋"/>
          <w:sz w:val="32"/>
        </w:rPr>
        <w:t>0.1964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