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（直达资金）2024年基本公共卫生服务补助资金（闽财社指（2024）25号、赵批2024财171号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明确基本公共卫生服务补助资金具体列支范围，并结合服务人口数、完成基本公共卫生服务任务的数量和质量、服务效果和绩效考核的结果等要素分配基本公共卫生服务资金，规范预算执行管理，提高资金使用的社会效益。</w:t>
        <w:cr/>
        <w:t/>
        <w:c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8.3756</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1)健康档案建档人数</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8940</w:t>
      </w:r>
      <w:r>
        <w:rPr>
          <w:rFonts w:ascii="仿宋" w:hAnsi="仿宋" w:cs="仿宋" w:eastAsia="仿宋"/>
          <w:sz w:val="32"/>
        </w:rPr>
        <w:t>，完成值</w:t>
      </w:r>
      <w:r>
        <w:rPr>
          <w:rFonts w:ascii="仿宋" w:hAnsi="仿宋" w:cs="仿宋" w:eastAsia="仿宋"/>
          <w:sz w:val="32"/>
        </w:rPr>
        <w:t>9142</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1)申请和发放过程中是否有弄虚作假的情况发生</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