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96.86</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14.3845</w:t>
      </w:r>
      <w:r>
        <w:rPr>
          <w:rFonts w:ascii="仿宋" w:hAnsi="仿宋" w:cs="仿宋" w:eastAsia="仿宋"/>
          <w:sz w:val="32"/>
        </w:rPr>
        <w:t>，完成值</w:t>
      </w:r>
      <w:r>
        <w:rPr>
          <w:rFonts w:ascii="仿宋" w:hAnsi="仿宋" w:cs="仿宋" w:eastAsia="仿宋"/>
          <w:sz w:val="32"/>
        </w:rPr>
        <w:t>13.3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17275</w:t>
      </w:r>
      <w:r>
        <w:rPr>
          <w:rFonts w:ascii="仿宋" w:hAnsi="仿宋" w:cs="仿宋" w:eastAsia="仿宋"/>
          <w:sz w:val="32"/>
        </w:rPr>
        <w:t>，完成值</w:t>
      </w:r>
      <w:r>
        <w:rPr>
          <w:rFonts w:ascii="仿宋" w:hAnsi="仿宋" w:cs="仿宋" w:eastAsia="仿宋"/>
          <w:sz w:val="32"/>
        </w:rPr>
        <w:t>16798</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4.86</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814</w:t>
      </w:r>
      <w:r>
        <w:rPr>
          <w:rFonts w:ascii="仿宋" w:hAnsi="仿宋" w:cs="仿宋" w:eastAsia="仿宋"/>
          <w:sz w:val="32"/>
        </w:rPr>
        <w:t>，完成值</w:t>
      </w:r>
      <w:r>
        <w:rPr>
          <w:rFonts w:ascii="仿宋" w:hAnsi="仿宋" w:cs="仿宋" w:eastAsia="仿宋"/>
          <w:sz w:val="32"/>
        </w:rPr>
        <w:t>1573</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1)居民规范化电子健康档案覆盖率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64</w:t>
      </w:r>
      <w:r>
        <w:rPr>
          <w:rFonts w:ascii="仿宋" w:hAnsi="仿宋" w:cs="仿宋" w:eastAsia="仿宋"/>
          <w:sz w:val="32"/>
        </w:rPr>
        <w:t>，完成值</w:t>
      </w:r>
      <w:r>
        <w:rPr>
          <w:rFonts w:ascii="仿宋" w:hAnsi="仿宋" w:cs="仿宋" w:eastAsia="仿宋"/>
          <w:sz w:val="32"/>
        </w:rPr>
        <w:t>99</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1)基本公共卫生服务重点人群调查满意度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公共卫生服务的项目多，需要完成的基本公共卫生服务任务的数量和质量、服务效果都需要得到保障。</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加强补助资金的下拨率，资金及时下拨，以便更好的完成基本公共卫生服务项目任务。</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