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（直达资金）2024年基本公共卫生服务补助资金（闽财社指（2024）25号、赵批2024财171号）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按照基本公共卫生服务项目要求，积椎为居民提供了相应的服务，按期完成指标值，累计支出11.2803万元，支出率100%。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11.2803</w:t>
      </w:r>
      <w:r>
        <w:rPr>
          <w:rFonts w:ascii="仿宋" w:hAnsi="仿宋" w:cs="仿宋" w:eastAsia="仿宋"/>
          <w:sz w:val="32"/>
        </w:rPr>
        <w:t>，完成值</w:t>
      </w:r>
      <w:r>
        <w:rPr>
          <w:rFonts w:ascii="仿宋" w:hAnsi="仿宋" w:cs="仿宋" w:eastAsia="仿宋"/>
          <w:sz w:val="32"/>
        </w:rPr>
        <w:t>11.2803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12000</w:t>
      </w:r>
      <w:r>
        <w:rPr>
          <w:rFonts w:ascii="仿宋" w:hAnsi="仿宋" w:cs="仿宋" w:eastAsia="仿宋"/>
          <w:sz w:val="32"/>
        </w:rPr>
        <w:t>，完成值</w:t>
      </w:r>
      <w:r>
        <w:rPr>
          <w:rFonts w:ascii="仿宋" w:hAnsi="仿宋" w:cs="仿宋" w:eastAsia="仿宋"/>
          <w:sz w:val="32"/>
        </w:rPr>
        <w:t>13362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750</w:t>
      </w:r>
      <w:r>
        <w:rPr>
          <w:rFonts w:ascii="仿宋" w:hAnsi="仿宋" w:cs="仿宋" w:eastAsia="仿宋"/>
          <w:sz w:val="32"/>
        </w:rPr>
        <w:t>，完成值</w:t>
      </w:r>
      <w:r>
        <w:rPr>
          <w:rFonts w:ascii="仿宋" w:hAnsi="仿宋" w:cs="仿宋" w:eastAsia="仿宋"/>
          <w:sz w:val="32"/>
        </w:rPr>
        <w:t>980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1)居民规范化电子健康档案覆盖率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64</w:t>
      </w:r>
      <w:r>
        <w:rPr>
          <w:rFonts w:ascii="仿宋" w:hAnsi="仿宋" w:cs="仿宋" w:eastAsia="仿宋"/>
          <w:sz w:val="32"/>
        </w:rPr>
        <w:t>，完成值</w:t>
      </w:r>
      <w:r>
        <w:rPr>
          <w:rFonts w:ascii="仿宋" w:hAnsi="仿宋" w:cs="仿宋" w:eastAsia="仿宋"/>
          <w:sz w:val="32"/>
        </w:rPr>
        <w:t>98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