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按照基本公共卫生服务项目要求，积极为居民提供了相应的服务，按期完成指标值，无弄虚作假、无违规使用资金，资金使用合规率100%，及时率100%，无纠纷、投诉等事件发生。</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21</w:t>
      </w:r>
      <w:r>
        <w:rPr>
          <w:rFonts w:ascii="仿宋_GB2312" w:hAnsi="仿宋_GB2312" w:cs="仿宋_GB2312" w:eastAsia="仿宋_GB2312"/>
          <w:sz w:val="32"/>
        </w:rPr>
        <w:t>个，实际完成</w:t>
      </w:r>
      <w:r>
        <w:rPr>
          <w:rFonts w:ascii="仿宋_GB2312" w:hAnsi="仿宋_GB2312" w:cs="仿宋_GB2312" w:eastAsia="仿宋_GB2312"/>
          <w:sz w:val="32"/>
        </w:rPr>
        <w:t>21</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15.5641</w:t>
      </w:r>
      <w:r>
        <w:rPr>
          <w:rFonts w:ascii="仿宋" w:hAnsi="仿宋" w:cs="仿宋" w:eastAsia="仿宋"/>
          <w:sz w:val="32"/>
        </w:rPr>
        <w:t>，完成值</w:t>
      </w:r>
      <w:r>
        <w:rPr>
          <w:rFonts w:ascii="仿宋" w:hAnsi="仿宋" w:cs="仿宋" w:eastAsia="仿宋"/>
          <w:sz w:val="32"/>
        </w:rPr>
        <w:t>15.5641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1)适龄儿童国家免疫规划疫苗接种率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2)7岁以下儿童健康管理率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97.11</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3)0-6岁儿童眼保健和视力检查覆盖率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97.11</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4)孕产妇系统管理率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98.15</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5)3岁以下儿童系统管现率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97.11</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6)高血压患者管理人数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1050</w:t>
      </w:r>
      <w:r>
        <w:rPr>
          <w:rFonts w:ascii="仿宋" w:hAnsi="仿宋" w:cs="仿宋" w:eastAsia="仿宋"/>
          <w:sz w:val="32"/>
        </w:rPr>
        <w:t>，完成值</w:t>
      </w:r>
      <w:r>
        <w:rPr>
          <w:rFonts w:ascii="仿宋" w:hAnsi="仿宋" w:cs="仿宋" w:eastAsia="仿宋"/>
          <w:sz w:val="32"/>
        </w:rPr>
        <w:t>1433</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7)2型糖尿病患者管理人数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380</w:t>
      </w:r>
      <w:r>
        <w:rPr>
          <w:rFonts w:ascii="仿宋" w:hAnsi="仿宋" w:cs="仿宋" w:eastAsia="仿宋"/>
          <w:sz w:val="32"/>
        </w:rPr>
        <w:t>，完成值</w:t>
      </w:r>
      <w:r>
        <w:rPr>
          <w:rFonts w:ascii="仿宋" w:hAnsi="仿宋" w:cs="仿宋" w:eastAsia="仿宋"/>
          <w:sz w:val="32"/>
        </w:rPr>
        <w:t>525</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8)肺结核患者管理率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9)社区在册居家严重精神障碍患者健康管理率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10)老年人中医药健康管理率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74</w:t>
      </w:r>
      <w:r>
        <w:rPr>
          <w:rFonts w:ascii="仿宋" w:hAnsi="仿宋" w:cs="仿宋" w:eastAsia="仿宋"/>
          <w:sz w:val="32"/>
        </w:rPr>
        <w:t>，完成值</w:t>
      </w:r>
      <w:r>
        <w:rPr>
          <w:rFonts w:ascii="仿宋" w:hAnsi="仿宋" w:cs="仿宋" w:eastAsia="仿宋"/>
          <w:sz w:val="32"/>
        </w:rPr>
        <w:t>80.31</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11)儿童中医药健康管理率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84</w:t>
      </w:r>
      <w:r>
        <w:rPr>
          <w:rFonts w:ascii="仿宋" w:hAnsi="仿宋" w:cs="仿宋" w:eastAsia="仿宋"/>
          <w:sz w:val="32"/>
        </w:rPr>
        <w:t>，完成值</w:t>
      </w:r>
      <w:r>
        <w:rPr>
          <w:rFonts w:ascii="仿宋" w:hAnsi="仿宋" w:cs="仿宋" w:eastAsia="仿宋"/>
          <w:sz w:val="32"/>
        </w:rPr>
        <w:t>97.25</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12)卫生监督协管各专业年巡查（访）2次完成率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1)居民规范化电子健康档案覆盖率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64</w:t>
      </w:r>
      <w:r>
        <w:rPr>
          <w:rFonts w:ascii="仿宋" w:hAnsi="仿宋" w:cs="仿宋" w:eastAsia="仿宋"/>
          <w:sz w:val="32"/>
        </w:rPr>
        <w:t>，完成值</w:t>
      </w:r>
      <w:r>
        <w:rPr>
          <w:rFonts w:ascii="仿宋" w:hAnsi="仿宋" w:cs="仿宋" w:eastAsia="仿宋"/>
          <w:sz w:val="32"/>
        </w:rPr>
        <w:t>90.43</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2)高血压患者基层规范管理服务率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94.56</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2</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3)2型糖尿病患者基层规范管理服务率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96.95</w:t>
      </w:r>
      <w:r>
        <w:rPr>
          <w:rFonts w:ascii="仿宋" w:hAnsi="仿宋" w:cs="仿宋" w:eastAsia="仿宋"/>
          <w:sz w:val="32"/>
        </w:rPr>
        <w:t>，分值</w:t>
      </w:r>
      <w:r>
        <w:rPr>
          <w:rFonts w:ascii="仿宋" w:hAnsi="仿宋" w:cs="仿宋" w:eastAsia="仿宋"/>
          <w:sz w:val="32"/>
        </w:rPr>
        <w:t>3</w:t>
      </w:r>
      <w:r>
        <w:rPr>
          <w:rFonts w:ascii="仿宋" w:hAnsi="仿宋" w:cs="仿宋" w:eastAsia="仿宋"/>
          <w:sz w:val="32"/>
        </w:rPr>
        <w:t>，得分</w:t>
      </w:r>
      <w:r>
        <w:rPr>
          <w:rFonts w:ascii="仿宋" w:hAnsi="仿宋" w:cs="仿宋" w:eastAsia="仿宋"/>
          <w:sz w:val="32"/>
        </w:rPr>
        <w:t>3</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4)65岁及以上老年人城乡社区规范健康管理服务率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73</w:t>
      </w:r>
      <w:r>
        <w:rPr>
          <w:rFonts w:ascii="仿宋" w:hAnsi="仿宋" w:cs="仿宋" w:eastAsia="仿宋"/>
          <w:sz w:val="32"/>
        </w:rPr>
        <w:t>，完成值</w:t>
      </w:r>
      <w:r>
        <w:rPr>
          <w:rFonts w:ascii="仿宋" w:hAnsi="仿宋" w:cs="仿宋" w:eastAsia="仿宋"/>
          <w:sz w:val="32"/>
        </w:rPr>
        <w:t>80.31</w:t>
      </w:r>
      <w:r>
        <w:rPr>
          <w:rFonts w:ascii="仿宋" w:hAnsi="仿宋" w:cs="仿宋" w:eastAsia="仿宋"/>
          <w:sz w:val="32"/>
        </w:rPr>
        <w:t>，分值</w:t>
      </w:r>
      <w:r>
        <w:rPr>
          <w:rFonts w:ascii="仿宋" w:hAnsi="仿宋" w:cs="仿宋" w:eastAsia="仿宋"/>
          <w:sz w:val="32"/>
        </w:rPr>
        <w:t>3</w:t>
      </w:r>
      <w:r>
        <w:rPr>
          <w:rFonts w:ascii="仿宋" w:hAnsi="仿宋" w:cs="仿宋" w:eastAsia="仿宋"/>
          <w:sz w:val="32"/>
        </w:rPr>
        <w:t>，得分</w:t>
      </w:r>
      <w:r>
        <w:rPr>
          <w:rFonts w:ascii="仿宋" w:hAnsi="仿宋" w:cs="仿宋" w:eastAsia="仿宋"/>
          <w:sz w:val="32"/>
        </w:rPr>
        <w:t>3</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5)传染病和突发公共卫生事件报告率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w:t>
      </w:r>
      <w:r>
        <w:rPr>
          <w:rFonts w:ascii="仿宋" w:hAnsi="仿宋" w:cs="仿宋" w:eastAsia="仿宋"/>
          <w:sz w:val="32"/>
        </w:rPr>
        <w:t>，得分</w:t>
      </w:r>
      <w:r>
        <w:rPr>
          <w:rFonts w:ascii="仿宋" w:hAnsi="仿宋" w:cs="仿宋" w:eastAsia="仿宋"/>
          <w:sz w:val="32"/>
        </w:rPr>
        <w:t>3</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w:t>
      </w:r>
      <w:r>
        <w:rPr>
          <w:rFonts w:ascii="仿宋" w:hAnsi="仿宋" w:cs="仿宋" w:eastAsia="仿宋"/>
          <w:sz w:val="32"/>
        </w:rPr>
        <w:t>，得分</w:t>
      </w:r>
      <w:r>
        <w:rPr>
          <w:rFonts w:ascii="仿宋" w:hAnsi="仿宋" w:cs="仿宋" w:eastAsia="仿宋"/>
          <w:sz w:val="32"/>
        </w:rPr>
        <w:t>3</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