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（直达资金）2024年第二批基本药物制度补助资金（乡镇卫生院）（闽财社指（2024）24号、赵批2024财168号）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按照“突出改革、注重实效、讲求绩效、量效挂钩”的原则，认真组织实施国家基本药物制度，今年实施国家基本药物制度的村卫生所（室）占比100％，基层医疗机构“优质服务基层行”达标比例100％，资金使用及时率100％，无纠纷、投诉现象发生，满意度调查达100％。</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100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1)实施基本医药制度的村卫生室县级财政投入</w:t>
      </w:r>
      <w:r>
        <w:rPr>
          <w:rFonts w:ascii="仿宋" w:hAnsi="仿宋" w:cs="仿宋" w:eastAsia="仿宋"/>
          <w:sz w:val="32"/>
        </w:rPr>
        <w:t>(</w:t>
      </w:r>
      <w:r>
        <w:rPr>
          <w:rFonts w:ascii="仿宋" w:hAnsi="仿宋" w:cs="仿宋" w:eastAsia="仿宋"/>
          <w:sz w:val="32"/>
        </w:rPr>
        <w:t>元</w:t>
      </w:r>
      <w:r>
        <w:rPr>
          <w:rFonts w:ascii="仿宋" w:hAnsi="仿宋" w:cs="仿宋" w:eastAsia="仿宋"/>
          <w:sz w:val="32"/>
        </w:rPr>
        <w:t>)，目标值</w:t>
      </w:r>
      <w:r>
        <w:rPr>
          <w:rFonts w:ascii="仿宋" w:hAnsi="仿宋" w:cs="仿宋" w:eastAsia="仿宋"/>
          <w:sz w:val="32"/>
        </w:rPr>
        <w:t>7139</w:t>
      </w:r>
      <w:r>
        <w:rPr>
          <w:rFonts w:ascii="仿宋" w:hAnsi="仿宋" w:cs="仿宋" w:eastAsia="仿宋"/>
          <w:sz w:val="32"/>
        </w:rPr>
        <w:t>，完成值</w:t>
      </w:r>
      <w:r>
        <w:rPr>
          <w:rFonts w:ascii="仿宋" w:hAnsi="仿宋" w:cs="仿宋" w:eastAsia="仿宋"/>
          <w:sz w:val="32"/>
        </w:rPr>
        <w:t>7139</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