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2024年医疗服务与保障能力提升（公立医院改革）（闽财社指（2023）112号）(赵批2024财126号)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用于医疗服务与保障能力提升，中医文化建设及附属设施改造。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得到了一定的提升。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1)设备购置数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