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全县基层医疗卫生机构全面实施国家基本药物制度，所有药品实施零差率销售。药品成本得到有效控制，减轻病人用药负担，稳步推进医改工作。</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30.711</w:t>
      </w:r>
      <w:r>
        <w:rPr>
          <w:rFonts w:ascii="仿宋" w:hAnsi="仿宋" w:cs="仿宋" w:eastAsia="仿宋"/>
          <w:sz w:val="32"/>
        </w:rPr>
        <w:t>，完成值</w:t>
      </w:r>
      <w:r>
        <w:rPr>
          <w:rFonts w:ascii="仿宋" w:hAnsi="仿宋" w:cs="仿宋" w:eastAsia="仿宋"/>
          <w:sz w:val="32"/>
        </w:rPr>
        <w:t>30.711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