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国家基本药物补助年终考核争取按规定完成药品零差率销售，提高医保报销量，</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1.9865</w:t>
      </w:r>
      <w:r>
        <w:rPr>
          <w:rFonts w:ascii="仿宋" w:hAnsi="仿宋" w:cs="仿宋" w:eastAsia="仿宋"/>
          <w:sz w:val="32"/>
        </w:rPr>
        <w:t>，完成值</w:t>
      </w:r>
      <w:r>
        <w:rPr>
          <w:rFonts w:ascii="仿宋" w:hAnsi="仿宋" w:cs="仿宋" w:eastAsia="仿宋"/>
          <w:sz w:val="32"/>
        </w:rPr>
        <w:t>1.9865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