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2024年基本药物制度补助资金（村卫生所）（闽财社指（2023）82号、赵批2024财100号）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1)"实施基本医药制度的村卫生室省级财政投入成本</w:t>
        <w:cr/>
        <w:t/>
        <w:cr/>
        <w:t>"</w:t>
        <w:cr/>
        <w:t/>
      </w:r>
      <w:r>
        <w:rPr>
          <w:rFonts w:ascii="仿宋" w:hAnsi="仿宋" w:cs="仿宋" w:eastAsia="仿宋"/>
          <w:sz w:val="32"/>
        </w:rPr>
        <w:t>(</w:t>
      </w:r>
      <w:r>
        <w:rPr>
          <w:rFonts w:ascii="仿宋" w:hAnsi="仿宋" w:cs="仿宋" w:eastAsia="仿宋"/>
          <w:sz w:val="32"/>
        </w:rPr>
        <w:t>万元</w:t>
        <w:cr/>
        <w:t/>
      </w:r>
      <w:r>
        <w:rPr>
          <w:rFonts w:ascii="仿宋" w:hAnsi="仿宋" w:cs="仿宋" w:eastAsia="仿宋"/>
          <w:sz w:val="32"/>
        </w:rPr>
        <w:t>)，目标值</w:t>
      </w:r>
      <w:r>
        <w:rPr>
          <w:rFonts w:ascii="仿宋" w:hAnsi="仿宋" w:cs="仿宋" w:eastAsia="仿宋"/>
          <w:sz w:val="32"/>
        </w:rPr>
        <w:t>4.2551</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50</w:t>
      </w:r>
      <w:r>
        <w:rPr>
          <w:rFonts w:ascii="仿宋" w:hAnsi="仿宋" w:cs="仿宋" w:eastAsia="仿宋"/>
          <w:sz w:val="32"/>
        </w:rPr>
        <w:t>，完成值</w:t>
      </w:r>
      <w:r>
        <w:rPr>
          <w:rFonts w:ascii="仿宋" w:hAnsi="仿宋" w:cs="仿宋" w:eastAsia="仿宋"/>
          <w:sz w:val="32"/>
        </w:rPr>
        <w:t>50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