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按照“突出改革、注重实效、讲求绩效，量效挂钩”的原则，认真组织实施国家基本药物制度，全面实施国家基本药物制度，所有药品实施零差率销售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w:t>
        <w:cr/>
        <w:t/>
      </w:r>
      <w:r>
        <w:rPr>
          <w:rFonts w:ascii="仿宋" w:hAnsi="仿宋" w:cs="仿宋" w:eastAsia="仿宋"/>
          <w:sz w:val="32"/>
        </w:rPr>
        <w:t>(</w:t>
      </w:r>
      <w:r>
        <w:rPr>
          <w:rFonts w:ascii="仿宋" w:hAnsi="仿宋" w:cs="仿宋" w:eastAsia="仿宋"/>
          <w:sz w:val="32"/>
        </w:rPr>
        <w:t>万元</w:t>
        <w:cr/>
        <w:t/>
      </w:r>
      <w:r>
        <w:rPr>
          <w:rFonts w:ascii="仿宋" w:hAnsi="仿宋" w:cs="仿宋" w:eastAsia="仿宋"/>
          <w:sz w:val="32"/>
        </w:rPr>
        <w:t>)，目标值</w:t>
      </w:r>
      <w:r>
        <w:rPr>
          <w:rFonts w:ascii="仿宋" w:hAnsi="仿宋" w:cs="仿宋" w:eastAsia="仿宋"/>
          <w:sz w:val="32"/>
        </w:rPr>
        <w:t>2.233</w:t>
      </w:r>
      <w:r>
        <w:rPr>
          <w:rFonts w:ascii="仿宋" w:hAnsi="仿宋" w:cs="仿宋" w:eastAsia="仿宋"/>
          <w:sz w:val="32"/>
        </w:rPr>
        <w:t>，完成值</w:t>
      </w:r>
      <w:r>
        <w:rPr>
          <w:rFonts w:ascii="仿宋" w:hAnsi="仿宋" w:cs="仿宋" w:eastAsia="仿宋"/>
          <w:sz w:val="32"/>
        </w:rPr>
        <w:t>2.233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cr/>
        <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cr/>
        <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