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2024年县域医共体能力提升专项资金（薄弱乡镇卫生院能力提升）(闽财社指〔2024〕10号)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此项目为支持县域医共体内基层医疗卫生机构能力提升建设，提高基本医疗和基本公共卫生服务能力而设立。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根据2024年卫生健康专项资金安排情况、年度工作任务和相关资金管理制度要求，积极为居民提供了相应的服务，按期完成指标值，无弄虚作假、无违规使用资金，资金使用合规率100%，及时率100%，无纠纷、投诉等事件发生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1)项目投入成本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70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70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1)补助医疗机构数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1)拨付合规性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1)补助资金及时发放率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1)因补贴未及时发放引起的纠纷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起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1)服务对象投诉次数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