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2024年基本公共卫生服务项目资金县级配套（赵批2024财58号）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元</w:t>
        <w:cr/>
        <w:t/>
      </w:r>
      <w:r>
        <w:rPr>
          <w:rFonts w:ascii="仿宋" w:hAnsi="仿宋" w:cs="仿宋" w:eastAsia="仿宋"/>
          <w:sz w:val="32"/>
        </w:rPr>
        <w:t>)，目标值</w:t>
      </w:r>
      <w:r>
        <w:rPr>
          <w:rFonts w:ascii="仿宋" w:hAnsi="仿宋" w:cs="仿宋" w:eastAsia="仿宋"/>
          <w:sz w:val="32"/>
        </w:rPr>
        <w:t>114860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1000</w:t>
      </w:r>
      <w:r>
        <w:rPr>
          <w:rFonts w:ascii="仿宋" w:hAnsi="仿宋" w:cs="仿宋" w:eastAsia="仿宋"/>
          <w:sz w:val="32"/>
        </w:rPr>
        <w:t>，完成值</w:t>
      </w:r>
      <w:r>
        <w:rPr>
          <w:rFonts w:ascii="仿宋" w:hAnsi="仿宋" w:cs="仿宋" w:eastAsia="仿宋"/>
          <w:sz w:val="32"/>
        </w:rPr>
        <w:t>999</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cr/>
        <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1)资金及时发放率</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