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2024基本公共卫生服务项目县级配套（赵批2024财58号）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明确基本公共卫生服务补助资金具体列支范围，并结合服务人口数，完成基本公共卫生服务数量和质量，服务效果和绩效考核结果等要素</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7</w:t>
      </w:r>
      <w:r>
        <w:rPr>
          <w:rFonts w:ascii="仿宋_GB2312" w:hAnsi="仿宋_GB2312" w:cs="仿宋_GB2312" w:eastAsia="仿宋_GB2312"/>
          <w:sz w:val="32"/>
        </w:rPr>
        <w:t>个，实际完成</w:t>
      </w:r>
      <w:r>
        <w:rPr>
          <w:rFonts w:ascii="仿宋_GB2312" w:hAnsi="仿宋_GB2312" w:cs="仿宋_GB2312" w:eastAsia="仿宋_GB2312"/>
          <w:sz w:val="32"/>
        </w:rPr>
        <w:t>7</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18.1219</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1)预防接种人次数量</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400</w:t>
      </w:r>
      <w:r>
        <w:rPr>
          <w:rFonts w:ascii="仿宋" w:hAnsi="仿宋" w:cs="仿宋" w:eastAsia="仿宋"/>
          <w:sz w:val="32"/>
        </w:rPr>
        <w:t>，完成值</w:t>
      </w:r>
      <w:r>
        <w:rPr>
          <w:rFonts w:ascii="仿宋" w:hAnsi="仿宋" w:cs="仿宋" w:eastAsia="仿宋"/>
          <w:sz w:val="32"/>
        </w:rPr>
        <w:t>474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2)高血压患者管理人数</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600</w:t>
      </w:r>
      <w:r>
        <w:rPr>
          <w:rFonts w:ascii="仿宋" w:hAnsi="仿宋" w:cs="仿宋" w:eastAsia="仿宋"/>
          <w:sz w:val="32"/>
        </w:rPr>
        <w:t>，完成值</w:t>
      </w:r>
      <w:r>
        <w:rPr>
          <w:rFonts w:ascii="仿宋" w:hAnsi="仿宋" w:cs="仿宋" w:eastAsia="仿宋"/>
          <w:sz w:val="32"/>
        </w:rPr>
        <w:t>784</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1)因资金未及时发放引起的纠纷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