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2024基本公共卫生服务项目县级配套（赵批2024财58号）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按照基本公共卫生服务项目要求，积椎为居民提供了相应的服务，按期完成指标值，累计支出3.6945元，支出率13%。</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88.77</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28.5955</w:t>
      </w:r>
      <w:r>
        <w:rPr>
          <w:rFonts w:ascii="仿宋" w:hAnsi="仿宋" w:cs="仿宋" w:eastAsia="仿宋"/>
          <w:sz w:val="32"/>
        </w:rPr>
        <w:t>，完成值</w:t>
      </w:r>
      <w:r>
        <w:rPr>
          <w:rFonts w:ascii="仿宋" w:hAnsi="仿宋" w:cs="仿宋" w:eastAsia="仿宋"/>
          <w:sz w:val="32"/>
        </w:rPr>
        <w:t>3.69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2800</w:t>
      </w:r>
      <w:r>
        <w:rPr>
          <w:rFonts w:ascii="仿宋" w:hAnsi="仿宋" w:cs="仿宋" w:eastAsia="仿宋"/>
          <w:sz w:val="32"/>
        </w:rPr>
        <w:t>，完成值</w:t>
      </w:r>
      <w:r>
        <w:rPr>
          <w:rFonts w:ascii="仿宋" w:hAnsi="仿宋" w:cs="仿宋" w:eastAsia="仿宋"/>
          <w:sz w:val="32"/>
        </w:rPr>
        <w:t>2455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8.77</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750</w:t>
      </w:r>
      <w:r>
        <w:rPr>
          <w:rFonts w:ascii="仿宋" w:hAnsi="仿宋" w:cs="仿宋" w:eastAsia="仿宋"/>
          <w:sz w:val="32"/>
        </w:rPr>
        <w:t>，完成值</w:t>
      </w:r>
      <w:r>
        <w:rPr>
          <w:rFonts w:ascii="仿宋" w:hAnsi="仿宋" w:cs="仿宋" w:eastAsia="仿宋"/>
          <w:sz w:val="32"/>
        </w:rPr>
        <w:t>980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w:t>
        <w:cr/>
        <w:t>拨付合规性</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2024年一整年预防接种人数出生日降低，人口流动大，预防接种人数也相应降低</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2024年公共卫生服务项目多，人群覆盖面积大，对完成基本公共卫生服务任务的数量和质量、服务的效果和绩效考核结果影响比较大。</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应该提倡生育政策，提供更多就业机会，减少人口流失，卫生院方面可以提高服务质量，服务流程优化</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2024年建议加强公卫科人员的业务知识培训学习，提升科室人员的整体素质，加大公卫的投入力度，在工作中探索模式，提高公共卫生服务能力。</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