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按照基本公共卫生服务项目要求，积椎为居民提供了相应的服务，按期完成指标值，累计支出66.0904元，支出率100%。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98.77</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66.0904</w:t>
      </w:r>
      <w:r>
        <w:rPr>
          <w:rFonts w:ascii="仿宋" w:hAnsi="仿宋" w:cs="仿宋" w:eastAsia="仿宋"/>
          <w:sz w:val="32"/>
        </w:rPr>
        <w:t>，完成值</w:t>
      </w:r>
      <w:r>
        <w:rPr>
          <w:rFonts w:ascii="仿宋" w:hAnsi="仿宋" w:cs="仿宋" w:eastAsia="仿宋"/>
          <w:sz w:val="32"/>
        </w:rPr>
        <w:t>66.0904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w:t>
      </w:r>
      <w:r>
        <w:rPr>
          <w:rFonts w:ascii="仿宋" w:hAnsi="仿宋" w:cs="仿宋" w:eastAsia="仿宋"/>
          <w:sz w:val="32"/>
        </w:rPr>
        <w:t>，完成值</w:t>
      </w:r>
      <w:r>
        <w:rPr>
          <w:rFonts w:ascii="仿宋" w:hAnsi="仿宋" w:cs="仿宋" w:eastAsia="仿宋"/>
          <w:sz w:val="32"/>
        </w:rPr>
        <w:t>2455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8.77</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750</w:t>
      </w:r>
      <w:r>
        <w:rPr>
          <w:rFonts w:ascii="仿宋" w:hAnsi="仿宋" w:cs="仿宋" w:eastAsia="仿宋"/>
          <w:sz w:val="32"/>
        </w:rPr>
        <w:t>，完成值</w:t>
      </w:r>
      <w:r>
        <w:rPr>
          <w:rFonts w:ascii="仿宋" w:hAnsi="仿宋" w:cs="仿宋" w:eastAsia="仿宋"/>
          <w:sz w:val="32"/>
        </w:rPr>
        <w:t>980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拨付合规性</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拨付合规性</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2024年公共卫生服务项目多，人群覆盖面积大，对完成基本公共卫生服务任务的数量和质量、服务的效果和绩效考核结果影响比较大。</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2024年一整年预防接种人数出生日降低，人口流动大，预防接种人数也相应降低</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2024年建议加强公卫科人员的业务知识培训学习，提升科室人员的整体素质，加大公卫的投入力度，在工作中探索模式，提高公共卫生服务能力。 1.、问题：村卫生室的乡村医生老龄化占比较高，</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应该提倡生育政策，提供更多就业机会，减少人口流失，卫生院方面可以提高服务质量，服务流程优化</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