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按照基本公共卫生服务项目要求，积椎为居民提供了相应的服务，按期完成指标值，累计支出9.5347万元，支出率75.09%。</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12.6971</w:t>
      </w:r>
      <w:r>
        <w:rPr>
          <w:rFonts w:ascii="仿宋" w:hAnsi="仿宋" w:cs="仿宋" w:eastAsia="仿宋"/>
          <w:sz w:val="32"/>
        </w:rPr>
        <w:t>，完成值</w:t>
      </w:r>
      <w:r>
        <w:rPr>
          <w:rFonts w:ascii="仿宋" w:hAnsi="仿宋" w:cs="仿宋" w:eastAsia="仿宋"/>
          <w:sz w:val="32"/>
        </w:rPr>
        <w:t>9.5347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260</w:t>
      </w:r>
      <w:r>
        <w:rPr>
          <w:rFonts w:ascii="仿宋" w:hAnsi="仿宋" w:cs="仿宋" w:eastAsia="仿宋"/>
          <w:sz w:val="32"/>
        </w:rPr>
        <w:t>，完成值</w:t>
      </w:r>
      <w:r>
        <w:rPr>
          <w:rFonts w:ascii="仿宋" w:hAnsi="仿宋" w:cs="仿宋" w:eastAsia="仿宋"/>
          <w:sz w:val="32"/>
        </w:rPr>
        <w:t>316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470</w:t>
      </w:r>
      <w:r>
        <w:rPr>
          <w:rFonts w:ascii="仿宋" w:hAnsi="仿宋" w:cs="仿宋" w:eastAsia="仿宋"/>
          <w:sz w:val="32"/>
        </w:rPr>
        <w:t>，完成值</w:t>
      </w:r>
      <w:r>
        <w:rPr>
          <w:rFonts w:ascii="仿宋" w:hAnsi="仿宋" w:cs="仿宋" w:eastAsia="仿宋"/>
          <w:sz w:val="32"/>
        </w:rPr>
        <w:t>495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