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2024基本公共卫生服务项目县级配套（赵批2024财58号）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89.86</w:t>
      </w:r>
      <w:r>
        <w:rPr>
          <w:rFonts w:ascii="仿宋_GB2312" w:hAnsi="仿宋_GB2312" w:cs="仿宋_GB2312" w:eastAsia="仿宋_GB2312"/>
          <w:sz w:val="32"/>
        </w:rPr>
        <w:t>分，等级为</w:t>
      </w:r>
      <w:r>
        <w:rPr>
          <w:rFonts w:ascii="仿宋_GB2312" w:hAnsi="仿宋_GB2312" w:cs="仿宋_GB2312" w:eastAsia="仿宋_GB2312"/>
          <w:sz w:val="32"/>
        </w:rPr>
        <w:t>良</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36.4643</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17275</w:t>
      </w:r>
      <w:r>
        <w:rPr>
          <w:rFonts w:ascii="仿宋" w:hAnsi="仿宋" w:cs="仿宋" w:eastAsia="仿宋"/>
          <w:sz w:val="32"/>
        </w:rPr>
        <w:t>，完成值</w:t>
      </w:r>
      <w:r>
        <w:rPr>
          <w:rFonts w:ascii="仿宋" w:hAnsi="仿宋" w:cs="仿宋" w:eastAsia="仿宋"/>
          <w:sz w:val="32"/>
        </w:rPr>
        <w:t>16798</w:t>
      </w:r>
      <w:r>
        <w:rPr>
          <w:rFonts w:ascii="仿宋" w:hAnsi="仿宋" w:cs="仿宋" w:eastAsia="仿宋"/>
          <w:sz w:val="32"/>
        </w:rPr>
        <w:t>，分值</w:t>
      </w:r>
      <w:r>
        <w:rPr>
          <w:rFonts w:ascii="仿宋" w:hAnsi="仿宋" w:cs="仿宋" w:eastAsia="仿宋"/>
          <w:sz w:val="32"/>
        </w:rPr>
        <w:t>5</w:t>
      </w:r>
      <w:r>
        <w:rPr>
          <w:rFonts w:ascii="仿宋" w:hAnsi="仿宋" w:cs="仿宋" w:eastAsia="仿宋"/>
          <w:sz w:val="32"/>
        </w:rPr>
        <w:t>，得分</w:t>
      </w:r>
      <w:r>
        <w:rPr>
          <w:rFonts w:ascii="仿宋" w:hAnsi="仿宋" w:cs="仿宋" w:eastAsia="仿宋"/>
          <w:sz w:val="32"/>
        </w:rPr>
        <w:t>4.86</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814</w:t>
      </w:r>
      <w:r>
        <w:rPr>
          <w:rFonts w:ascii="仿宋" w:hAnsi="仿宋" w:cs="仿宋" w:eastAsia="仿宋"/>
          <w:sz w:val="32"/>
        </w:rPr>
        <w:t>，完成值</w:t>
      </w:r>
      <w:r>
        <w:rPr>
          <w:rFonts w:ascii="仿宋" w:hAnsi="仿宋" w:cs="仿宋" w:eastAsia="仿宋"/>
          <w:sz w:val="32"/>
        </w:rPr>
        <w:t>1513</w:t>
      </w:r>
      <w:r>
        <w:rPr>
          <w:rFonts w:ascii="仿宋" w:hAnsi="仿宋" w:cs="仿宋" w:eastAsia="仿宋"/>
          <w:sz w:val="32"/>
        </w:rPr>
        <w:t>，分值</w:t>
      </w:r>
      <w:r>
        <w:rPr>
          <w:rFonts w:ascii="仿宋" w:hAnsi="仿宋" w:cs="仿宋" w:eastAsia="仿宋"/>
          <w:sz w:val="32"/>
        </w:rPr>
        <w:t>5</w:t>
      </w:r>
      <w:r>
        <w:rPr>
          <w:rFonts w:ascii="仿宋" w:hAnsi="仿宋" w:cs="仿宋" w:eastAsia="仿宋"/>
          <w:sz w:val="32"/>
        </w:rPr>
        <w:t>，得分</w:t>
      </w:r>
      <w:r>
        <w:rPr>
          <w:rFonts w:ascii="仿宋" w:hAnsi="仿宋" w:cs="仿宋" w:eastAsia="仿宋"/>
          <w:sz w:val="32"/>
        </w:rPr>
        <w:t>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公共卫生服务的项目多，需要完成的基本公共卫生服务任务的数量和质量、服务效果都需要得到保障</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加强补助资金的下拨率，资金及时下拨，以便更好的完成基本公共卫生服务项目任务。</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