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（直达资金）2024年医疗服务与保障能力提升（中医药事业传承与发展部分）转移支付补助资金（闽财社指【2024】7号)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进一步提升中医药服务能力，继续推进两专科一中心项目建设，不断提升基层中医建设。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88.5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1)“两专科一中心”建设投入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1)“两专科一中心”建设项目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1)建设项目合格率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1)及时完成率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1)本院康复科、肛肠科床位数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张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1)患者满意度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94.228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2024年医疗服务与保障能力提升（中医药事业传承与发展部分）转移支付补助资金（闽财社指【2024】7号)资金下达50万元，剩余50万元在2025年使用。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（（直达资金）2024年医疗服务与保障能力提升（中医药事业传承与发展部分）转移支付补助资金（闽财社指【2024】7号)）及时下达资金，及时完成资金使用，争取完成目标值。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