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按照基本公共卫生服务项目要求，积极为居民提供了相应的服务，按期完成指标值，无弄虚作假、无违规使用资金，资金使用合规率100%，及时率100%，无纠纷、投诉等事件发生。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30.3165</w:t>
      </w:r>
      <w:r>
        <w:rPr>
          <w:rFonts w:ascii="仿宋" w:hAnsi="仿宋" w:cs="仿宋" w:eastAsia="仿宋"/>
          <w:sz w:val="32"/>
        </w:rPr>
        <w:t>，完成值</w:t>
      </w:r>
      <w:r>
        <w:rPr>
          <w:rFonts w:ascii="仿宋" w:hAnsi="仿宋" w:cs="仿宋" w:eastAsia="仿宋"/>
          <w:sz w:val="32"/>
        </w:rPr>
        <w:t>15.43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1625</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