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2024年卫生健康转移支付补助资金（第二批）【（公立医院综合改革）闽财社指【2023】112号】（直达资金)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拟分配六都医院40万元用于购置前列腺等离子电切系统（预算约50万），分配中医院20万元用于购置电子上消化道内窥镜（预算约50万），其余87万分配总医院拟用于购置动态心电图记录仪、全自动细菌鉴定及药敏分析系统、麻醉机及监护仪等相关设备预算约100万，资金不足部分由各单位自筹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促进医院发展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147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1)购置“公立医院改革”所必备的设备数量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台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1)设备购置符合相关政府采购文件规定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1)采购资金拨付及时性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1)因采购资金未及时发放引起的纠纷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