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提前下达2024年卫生健康转移支付补助资金（第一批）【（县域医共体能力提升）闽财社指【2023】82号】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2021-2025年，支持达到国家县医院医疗服务能力推荐标准的一般县（市、区）综合医院重点开展卒中中心、胸痛中心、呼吸诊疗中心、创伤中心（以下简称“四大中心”）建设，提高县域急危重症救治能力，辐射提升基层医疗卫生机构诊疗能力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提高县域急危重症救治能力，辐射提升基层医疗卫生机构诊疗能力。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1)购买设备数量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