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追加2023年基本公共卫生服务县级配套资金（赵批2023财461号））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补助资金主要用于对基层医疗卫生机构完成的基本公共卫生服务任务（包括向有资质的第三方购买基本公共卫生服务）、开展服务的耗材等直接项目成本支出以及从事基本公共卫生服务的编制数外临时聘用人员经费支出。																</w:t>
        <w:cr/>
        <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结合服务人口数，完成基本公共卫生服务数量和质量、服务效果和绩效考核结果等要素。</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90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1)项目投入成本</w:t>
        <w:cr/>
        <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0.5361</w:t>
      </w:r>
      <w:r>
        <w:rPr>
          <w:rFonts w:ascii="仿宋" w:hAnsi="仿宋" w:cs="仿宋" w:eastAsia="仿宋"/>
          <w:sz w:val="32"/>
        </w:rPr>
        <w:t>，完成值</w:t>
      </w:r>
      <w:r>
        <w:rPr>
          <w:rFonts w:ascii="仿宋" w:hAnsi="仿宋" w:cs="仿宋" w:eastAsia="仿宋"/>
          <w:sz w:val="32"/>
        </w:rPr>
        <w:t>0.5361</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1)预防接种人次</w:t>
        <w:cr/>
        <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310</w:t>
      </w:r>
      <w:r>
        <w:rPr>
          <w:rFonts w:ascii="仿宋" w:hAnsi="仿宋" w:cs="仿宋" w:eastAsia="仿宋"/>
          <w:sz w:val="32"/>
        </w:rPr>
        <w:t>，完成值</w:t>
      </w:r>
      <w:r>
        <w:rPr>
          <w:rFonts w:ascii="仿宋" w:hAnsi="仿宋" w:cs="仿宋" w:eastAsia="仿宋"/>
          <w:sz w:val="32"/>
        </w:rPr>
        <w:t>320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1)拨付合规性</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1)因补贴未及时发放引起的纠纷</w:t>
        <w:cr/>
        <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1)服务对象投诉次数</w:t>
        <w:cr/>
        <w:t/>
      </w:r>
      <w:r>
        <w:rPr>
          <w:rFonts w:ascii="仿宋" w:hAnsi="仿宋" w:cs="仿宋" w:eastAsia="仿宋"/>
          <w:sz w:val="32"/>
        </w:rPr>
        <w:t>(</w:t>
      </w:r>
      <w:r>
        <w:rPr>
          <w:rFonts w:ascii="仿宋" w:hAnsi="仿宋" w:cs="仿宋" w:eastAsia="仿宋"/>
          <w:sz w:val="32"/>
        </w:rPr>
        <w:t>次</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