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追加2023年基本公共卫生服务县级配套（赵批2023财461号）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
        <w:cr/>
        <w:t>补助资金主要用于对基层医疗卫生机构完成的基本公共卫生服务任务（包括向有资质的第三方购买基本公共卫生服务）、开展服务的耗材等直接项目成本支出以及从事基本公共卫生服务的编制数外临时聘用人员经费支出。</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80</w:t>
      </w:r>
      <w:r>
        <w:rPr>
          <w:rFonts w:ascii="仿宋_GB2312" w:hAnsi="仿宋_GB2312" w:cs="仿宋_GB2312" w:eastAsia="仿宋_GB2312"/>
          <w:sz w:val="32"/>
        </w:rPr>
        <w:t>分，等级为</w:t>
      </w:r>
      <w:r>
        <w:rPr>
          <w:rFonts w:ascii="仿宋_GB2312" w:hAnsi="仿宋_GB2312" w:cs="仿宋_GB2312" w:eastAsia="仿宋_GB2312"/>
          <w:sz w:val="32"/>
        </w:rPr>
        <w:t>良</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5</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cr/>
        <w:t>"</w:t>
        <w:cr/>
        <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1.5826</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1)"健康档案建档人次</w:t>
        <w:cr/>
        <w:t>"</w:t>
        <w:cr/>
        <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12600</w:t>
      </w:r>
      <w:r>
        <w:rPr>
          <w:rFonts w:ascii="仿宋" w:hAnsi="仿宋" w:cs="仿宋" w:eastAsia="仿宋"/>
          <w:sz w:val="32"/>
        </w:rPr>
        <w:t>，完成值</w:t>
      </w:r>
      <w:r>
        <w:rPr>
          <w:rFonts w:ascii="仿宋" w:hAnsi="仿宋" w:cs="仿宋" w:eastAsia="仿宋"/>
          <w:sz w:val="32"/>
        </w:rPr>
        <w:t>13200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cr/>
        <w:t>"</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cr/>
        <w:t>"</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1)"申请和支付过程中是否有弄虚作假的情况发生</w:t>
        <w:cr/>
        <w:t>"</w:t>
        <w:cr/>
        <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cr/>
        <w:t>"</w:t>
        <w:cr/>
        <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7EA6DD7C"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1</w:t>
      </w:r>
      <w:r>
        <w:rPr>
          <w:rFonts w:ascii="仿宋" w:hAnsi="仿宋" w:cs="仿宋" w:eastAsia="仿宋"/>
          <w:sz w:val="32"/>
        </w:rPr>
        <w:t xml:space="preserve">. </w:t>
      </w:r>
      <w:r>
        <w:rPr>
          <w:rFonts w:ascii="仿宋" w:hAnsi="仿宋" w:cs="仿宋" w:eastAsia="仿宋"/>
          <w:sz w:val="32"/>
        </w:rPr>
        <w:t xml:space="preserve">2023年基本公共卫生补助资金因该资金未下拨，所以该资金未进行补助发放2023年基本公共卫生补助资金待下拨资金后，单位应及时发放该补助资金 </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1B0C53BB"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1</w:t>
      </w:r>
      <w:r>
        <w:rPr>
          <w:rFonts w:ascii="仿宋" w:hAnsi="仿宋" w:cs="仿宋" w:eastAsia="仿宋"/>
          <w:sz w:val="32"/>
        </w:rPr>
        <w:t xml:space="preserve">. </w:t>
      </w:r>
      <w:r>
        <w:rPr>
          <w:rFonts w:ascii="仿宋" w:hAnsi="仿宋" w:cs="仿宋" w:eastAsia="仿宋"/>
          <w:sz w:val="32"/>
        </w:rPr>
        <w:t xml:space="preserve">金待下拨资金后，单位应及时发放该补助资金 公卫科人员的业务知识培训学习，提升科室人员的整体素质。加大公卫的投入力度，在工作中探索模式，提高公共卫生服务能力。 </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