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 xml:space="preserve">追加2023年基本公共卫生服务县级配套资金（赵批2023财461号）								</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																</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按照基本公共卫生服务项目要求，积椎为居民提供了相应的服务，未完成指标值。</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1.9291</w:t>
        <w:cr/>
        <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cr/>
        <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17362</w:t>
      </w:r>
      <w:r>
        <w:rPr>
          <w:rFonts w:ascii="仿宋" w:hAnsi="仿宋" w:cs="仿宋" w:eastAsia="仿宋"/>
          <w:sz w:val="32"/>
        </w:rPr>
        <w:t>，完成值</w:t>
      </w:r>
      <w:r>
        <w:rPr>
          <w:rFonts w:ascii="仿宋" w:hAnsi="仿宋" w:cs="仿宋" w:eastAsia="仿宋"/>
          <w:sz w:val="32"/>
        </w:rPr>
        <w:t>17913</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cr/>
        <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