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追加2023年基本公共卫生服务县级配套资金(赵批2023财461号）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补助资金主要用于对基层医疗卫生机构完成的基本公共卫生服务任务（包括向有资质的第三方购买基本公共卫生服务）开展服务的耗材等直接项目成本以及从事基本公共卫生服务的编制数外聘人员经费支出。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结合服务人口数，完成基本公共卫生服务任务的数量和质量、服务效果和绩效考核的结果等要素分配</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1.5572</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w:t>
        <w:cr/>
        <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836</w:t>
      </w:r>
      <w:r>
        <w:rPr>
          <w:rFonts w:ascii="仿宋" w:hAnsi="仿宋" w:cs="仿宋" w:eastAsia="仿宋"/>
          <w:sz w:val="32"/>
        </w:rPr>
        <w:t>，完成值</w:t>
      </w:r>
      <w:r>
        <w:rPr>
          <w:rFonts w:ascii="仿宋" w:hAnsi="仿宋" w:cs="仿宋" w:eastAsia="仿宋"/>
          <w:sz w:val="32"/>
        </w:rPr>
        <w:t>841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960</w:t>
      </w:r>
      <w:r>
        <w:rPr>
          <w:rFonts w:ascii="仿宋" w:hAnsi="仿宋" w:cs="仿宋" w:eastAsia="仿宋"/>
          <w:sz w:val="32"/>
        </w:rPr>
        <w:t>，完成值</w:t>
      </w:r>
      <w:r>
        <w:rPr>
          <w:rFonts w:ascii="仿宋" w:hAnsi="仿宋" w:cs="仿宋" w:eastAsia="仿宋"/>
          <w:sz w:val="32"/>
        </w:rPr>
        <w:t>1385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w:t>
        <w:cr/>
        <w:t>"</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1)"""反向指标，完成得满分，未完成不得分</w:t>
        <w:cr/>
        <w:t>""</w:t>
        <w:cr/>
        <w:t>"</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2023年高血压管理人次数已完成目标值，在之后还需继续完善高血压管理人数数据</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2023年高血压管理人次数已完成目标值，在之后还需继续完善高血压管理人数数据，无建议</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