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追加2023年基本公共卫生服务县级配套资金（赵批2023财461号）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按照基本公共卫生服务项目要求，为居民提供了相应的服务，按期完成指标值，资金使用合规率100%，及时率100%，无纠纷、投诉等事件发生。</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3.5655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32090</w:t>
      </w:r>
      <w:r>
        <w:rPr>
          <w:rFonts w:ascii="仿宋" w:hAnsi="仿宋" w:cs="仿宋" w:eastAsia="仿宋"/>
          <w:sz w:val="32"/>
        </w:rPr>
        <w:t>，完成值</w:t>
      </w:r>
      <w:r>
        <w:rPr>
          <w:rFonts w:ascii="仿宋" w:hAnsi="仿宋" w:cs="仿宋" w:eastAsia="仿宋"/>
          <w:sz w:val="32"/>
        </w:rPr>
        <w:t>32337</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