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2023年基本公共卫生服务市级补助结算资金（榕财社（指）[2023]120号）直达资金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为城乡居民提供基本医疗服务和基本公共卫生服务，运用适宜医疗技术和药物，开展常见病、多发病诊疗，接治转诊;推广应用适宜医疗技术，贯彻落实医疗卫生改革方针政策，管理辖区内的行政村卫生所；承担临床医疗、 预防保健、健康教育、公共卫生、家庭医生签约服务、应急救援保障等医疗和公共服务工作；对村级医务人员业务培训、医务人员继续教育等工作；承担全镇医疗服务和公共卫生服务监督与指导工作；落实全民健康管理和家庭医生签约服务工作，为人民群众提供全方位、全生命周期的健康服务，促进“以病人为中心”向“以健康为中心”转变。</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5.41</w:t>
      </w:r>
      <w:r>
        <w:rPr>
          <w:rFonts w:ascii="仿宋" w:hAnsi="仿宋" w:cs="仿宋" w:eastAsia="仿宋"/>
          <w:sz w:val="32"/>
        </w:rPr>
        <w:t>，完成值</w:t>
      </w:r>
      <w:r>
        <w:rPr>
          <w:rFonts w:ascii="仿宋" w:hAnsi="仿宋" w:cs="仿宋" w:eastAsia="仿宋"/>
          <w:sz w:val="32"/>
        </w:rPr>
        <w:t>5.41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6000</w:t>
      </w:r>
      <w:r>
        <w:rPr>
          <w:rFonts w:ascii="仿宋" w:hAnsi="仿宋" w:cs="仿宋" w:eastAsia="仿宋"/>
          <w:sz w:val="32"/>
        </w:rPr>
        <w:t>，完成值</w:t>
      </w:r>
      <w:r>
        <w:rPr>
          <w:rFonts w:ascii="仿宋" w:hAnsi="仿宋" w:cs="仿宋" w:eastAsia="仿宋"/>
          <w:sz w:val="32"/>
        </w:rPr>
        <w:t>7258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1800</w:t>
      </w:r>
      <w:r>
        <w:rPr>
          <w:rFonts w:ascii="仿宋" w:hAnsi="仿宋" w:cs="仿宋" w:eastAsia="仿宋"/>
          <w:sz w:val="32"/>
        </w:rPr>
        <w:t>，完成值</w:t>
      </w:r>
      <w:r>
        <w:rPr>
          <w:rFonts w:ascii="仿宋" w:hAnsi="仿宋" w:cs="仿宋" w:eastAsia="仿宋"/>
          <w:sz w:val="32"/>
        </w:rPr>
        <w:t>2454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