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125681</w:t>
      </w:r>
      <w:r>
        <w:rPr>
          <w:rFonts w:ascii="仿宋" w:hAnsi="仿宋" w:cs="仿宋" w:eastAsia="仿宋"/>
          <w:sz w:val="32"/>
        </w:rPr>
        <w:t>，完成值</w:t>
      </w:r>
      <w:r>
        <w:rPr>
          <w:rFonts w:ascii="仿宋" w:hAnsi="仿宋" w:cs="仿宋" w:eastAsia="仿宋"/>
          <w:sz w:val="32"/>
        </w:rPr>
        <w:t>125681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800</w:t>
      </w:r>
      <w:r>
        <w:rPr>
          <w:rFonts w:ascii="仿宋" w:hAnsi="仿宋" w:cs="仿宋" w:eastAsia="仿宋"/>
          <w:sz w:val="32"/>
        </w:rPr>
        <w:t>，完成值</w:t>
      </w:r>
      <w:r>
        <w:rPr>
          <w:rFonts w:ascii="仿宋" w:hAnsi="仿宋" w:cs="仿宋" w:eastAsia="仿宋"/>
          <w:sz w:val="32"/>
        </w:rPr>
        <w:t>1740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1033</w:t>
      </w:r>
      <w:r>
        <w:rPr>
          <w:rFonts w:ascii="仿宋" w:hAnsi="仿宋" w:cs="仿宋" w:eastAsia="仿宋"/>
          <w:sz w:val="32"/>
        </w:rPr>
        <w:t>，完成值</w:t>
      </w:r>
      <w:r>
        <w:rPr>
          <w:rFonts w:ascii="仿宋" w:hAnsi="仿宋" w:cs="仿宋" w:eastAsia="仿宋"/>
          <w:sz w:val="32"/>
        </w:rPr>
        <w:t>1471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	 2023年基本公共卫生补助资金因该资金未下拨，所以该资金未进行补助发放2023年基本公共卫生补助资金待下拨资金后，单位应及时发放该补助资金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金待下拨资金后，单位应及时发放该补助资金 公卫科人员的业务知识培训学习，提升科室人员的整体素质。加大公卫的投入力度，在工作中探索模式，提高公共卫生服务能力。 </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