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2、本专项金额为 11.88万元，专项补助资金主要用于基本公共卫生服务项目，按照基本公共卫生服务项目要求，积极为居民提供了相应的服务。</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11.8819</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3000</w:t>
      </w:r>
      <w:r>
        <w:rPr>
          <w:rFonts w:ascii="仿宋" w:hAnsi="仿宋" w:cs="仿宋" w:eastAsia="仿宋"/>
          <w:sz w:val="32"/>
        </w:rPr>
        <w:t>，完成值</w:t>
      </w:r>
      <w:r>
        <w:rPr>
          <w:rFonts w:ascii="仿宋" w:hAnsi="仿宋" w:cs="仿宋" w:eastAsia="仿宋"/>
          <w:sz w:val="32"/>
        </w:rPr>
        <w:t>3862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950</w:t>
      </w:r>
      <w:r>
        <w:rPr>
          <w:rFonts w:ascii="仿宋" w:hAnsi="仿宋" w:cs="仿宋" w:eastAsia="仿宋"/>
          <w:sz w:val="32"/>
        </w:rPr>
        <w:t>，完成值</w:t>
      </w:r>
      <w:r>
        <w:rPr>
          <w:rFonts w:ascii="仿宋" w:hAnsi="仿宋" w:cs="仿宋" w:eastAsia="仿宋"/>
          <w:sz w:val="32"/>
        </w:rPr>
        <w:t>991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