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14.1651</w:t>
      </w:r>
      <w:r>
        <w:rPr>
          <w:rFonts w:ascii="仿宋" w:hAnsi="仿宋" w:cs="仿宋" w:eastAsia="仿宋"/>
          <w:sz w:val="32"/>
        </w:rPr>
        <w:t>，完成值</w:t>
      </w:r>
      <w:r>
        <w:rPr>
          <w:rFonts w:ascii="仿宋" w:hAnsi="仿宋" w:cs="仿宋" w:eastAsia="仿宋"/>
          <w:sz w:val="32"/>
        </w:rPr>
        <w:t>14.1651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3675</w:t>
      </w:r>
      <w:r>
        <w:rPr>
          <w:rFonts w:ascii="仿宋" w:hAnsi="仿宋" w:cs="仿宋" w:eastAsia="仿宋"/>
          <w:sz w:val="32"/>
        </w:rPr>
        <w:t>，完成值</w:t>
      </w:r>
      <w:r>
        <w:rPr>
          <w:rFonts w:ascii="仿宋" w:hAnsi="仿宋" w:cs="仿宋" w:eastAsia="仿宋"/>
          <w:sz w:val="32"/>
        </w:rPr>
        <w:t>3675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1189</w:t>
      </w:r>
      <w:r>
        <w:rPr>
          <w:rFonts w:ascii="仿宋" w:hAnsi="仿宋" w:cs="仿宋" w:eastAsia="仿宋"/>
          <w:sz w:val="32"/>
        </w:rPr>
        <w:t>，完成值</w:t>
      </w:r>
      <w:r>
        <w:rPr>
          <w:rFonts w:ascii="仿宋" w:hAnsi="仿宋" w:cs="仿宋" w:eastAsia="仿宋"/>
          <w:sz w:val="32"/>
        </w:rPr>
        <w:t>1189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2023年基本公共卫生补助资金因该资金未下拨，所以该资金未进行补助发放2023年基本公共卫生补助资金待下拨资金后，单位应及时发放该补助资金				</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 xml:space="preserve">2023年基本公共卫生补助资金因该资金未下拨，所以该资金未进行补助发放2023年基本公共卫生补助资金待下拨资金后，单位应及时发放该补助资金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"公共卫生服务的项目多，需要完成的基本公共卫生服务任务的数量和质量、服务效果都需要得到保障。 加强补助资金的下拨率，资金及时下拨，以便更好的完成基本公共卫生服务项目任务。"				</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 xml:space="preserve">公卫科人员的业务知识培训学习，提升科室人员的整体素质。加大公卫的投入力度，在工作中探索模式，提高公共卫生服务能力。				</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