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2023年基本公共卫生补助资金（榕财社（指）【2023】103号、赵批【2023】357号）（直达资金）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为城乡居民提供基本医疗服务和基本公共卫生服务，运用适宜医疗技术和药物，开展常见病、多发病诊疗，接治转诊;推广应用适宜医疗技术，贯彻落实医疗卫生改革方针政策，管理辖区内的行政村卫生所；承担临床医疗、 预防保健、健康教育、公共卫生、家庭医生签约服务、应急救援保障等医疗和公共服务工作；对村级医务人员业务培训、医务人员继续教育等工作；承担全镇医疗服务和公共卫生服务监督与指导工作；落实全民健康管理和家庭医生签约服务工作，为人民群众提供全方位、全生命周期的健康服务，促进“以病人为中心”向“以健康为中心”转变。</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26.8546</w:t>
      </w:r>
      <w:r>
        <w:rPr>
          <w:rFonts w:ascii="仿宋" w:hAnsi="仿宋" w:cs="仿宋" w:eastAsia="仿宋"/>
          <w:sz w:val="32"/>
        </w:rPr>
        <w:t>，完成值</w:t>
      </w:r>
      <w:r>
        <w:rPr>
          <w:rFonts w:ascii="仿宋" w:hAnsi="仿宋" w:cs="仿宋" w:eastAsia="仿宋"/>
          <w:sz w:val="32"/>
        </w:rPr>
        <w:t>26.8546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6000</w:t>
      </w:r>
      <w:r>
        <w:rPr>
          <w:rFonts w:ascii="仿宋" w:hAnsi="仿宋" w:cs="仿宋" w:eastAsia="仿宋"/>
          <w:sz w:val="32"/>
        </w:rPr>
        <w:t>，完成值</w:t>
      </w:r>
      <w:r>
        <w:rPr>
          <w:rFonts w:ascii="仿宋" w:hAnsi="仿宋" w:cs="仿宋" w:eastAsia="仿宋"/>
          <w:sz w:val="32"/>
        </w:rPr>
        <w:t>7258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1800</w:t>
      </w:r>
      <w:r>
        <w:rPr>
          <w:rFonts w:ascii="仿宋" w:hAnsi="仿宋" w:cs="仿宋" w:eastAsia="仿宋"/>
          <w:sz w:val="32"/>
        </w:rPr>
        <w:t>，完成值</w:t>
      </w:r>
      <w:r>
        <w:rPr>
          <w:rFonts w:ascii="仿宋" w:hAnsi="仿宋" w:cs="仿宋" w:eastAsia="仿宋"/>
          <w:sz w:val="32"/>
        </w:rPr>
        <w:t>2454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