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2023年基本公共卫生补助资金（榕财社（指）【2023】103号、赵批【2023】357号）（直达资金）</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按照基本公共卫生服务项目要求，积椎为居民提供了相应的服务，按期完成指标值，累计支出3.7641万元，支出率54.92%。</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97.9</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6.8541</w:t>
      </w:r>
      <w:r>
        <w:rPr>
          <w:rFonts w:ascii="仿宋" w:hAnsi="仿宋" w:cs="仿宋" w:eastAsia="仿宋"/>
          <w:sz w:val="32"/>
        </w:rPr>
        <w:t>，完成值</w:t>
      </w:r>
      <w:r>
        <w:rPr>
          <w:rFonts w:ascii="仿宋" w:hAnsi="仿宋" w:cs="仿宋" w:eastAsia="仿宋"/>
          <w:sz w:val="32"/>
        </w:rPr>
        <w:t>3.7641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400</w:t>
      </w:r>
      <w:r>
        <w:rPr>
          <w:rFonts w:ascii="仿宋" w:hAnsi="仿宋" w:cs="仿宋" w:eastAsia="仿宋"/>
          <w:sz w:val="32"/>
        </w:rPr>
        <w:t>，完成值</w:t>
      </w:r>
      <w:r>
        <w:rPr>
          <w:rFonts w:ascii="仿宋" w:hAnsi="仿宋" w:cs="仿宋" w:eastAsia="仿宋"/>
          <w:sz w:val="32"/>
        </w:rPr>
        <w:t>316</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7.9</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500</w:t>
      </w:r>
      <w:r>
        <w:rPr>
          <w:rFonts w:ascii="仿宋" w:hAnsi="仿宋" w:cs="仿宋" w:eastAsia="仿宋"/>
          <w:sz w:val="32"/>
        </w:rPr>
        <w:t>，完成值</w:t>
      </w:r>
      <w:r>
        <w:rPr>
          <w:rFonts w:ascii="仿宋" w:hAnsi="仿宋" w:cs="仿宋" w:eastAsia="仿宋"/>
          <w:sz w:val="32"/>
        </w:rPr>
        <w:t>586</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2024年整体出生率下降，再加上人口流动大，外出人口增多，导致预防接种人数递减</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公共卫生服务项目多，人群覆盖面积大，对完成基本公共卫生服务任务的数量和质量、服务的效果和绩效考核结果影响比较大。</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政府方面可以加大投入，提倡生育政策，提供更多就业机会，减少人口流失，卫生院方面可以提高服务质量，服务流程优化</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建议加强公卫科人员的业务知识培训学习，提升科室人员的整体素质，加大公卫的投入力度，在工作中探索模式，提高公共卫生服务能力。</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