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2023年度中医专项市级补助资金（榕财社（指）【2023】86号）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该项目通过购置中医治疗相关设备，优化中医治疗环境，从而提高中医馆服务水平，为乡镇居民提供更好的中医诊疗服务。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优化中医治疗环境，从而提高中医馆服务水平，为乡镇居民提供更好的中医诊疗服务。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1)建设精品中医馆数量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1)建设项目合格率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1)项目及时完成率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1)中医药收入提高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1)患者满意度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因财政资金紧张，指标未批复，截止2024年年末项目款项尚未支出。需加强与有关部门的沟通，推进指标批复，以便及时下拨款项。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因财政资金紧张，指标未批复，截止2024年年末项目款项尚未支出。需加强与有关部门的沟通，推进指标批复，以便及时下拨款项。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