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2023年基本药物制度县级配套资金（赵批［2023］271号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全县基层医疗卫生机构全面实施国家基本药物制度，所有药品实施零差率销售。药品成本得到有效控制，减轻病人用药负担，稳步推进医改工作。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cr/>
        <w:t/>
        <w:cr/>
        <w:t/>
      </w:r>
      <w:r>
        <w:rPr>
          <w:rFonts w:ascii="仿宋" w:hAnsi="仿宋" w:cs="仿宋" w:eastAsia="仿宋"/>
          <w:sz w:val="32"/>
        </w:rPr>
        <w:t>(</w:t>
      </w:r>
      <w:r>
        <w:rPr>
          <w:rFonts w:ascii="仿宋" w:hAnsi="仿宋" w:cs="仿宋" w:eastAsia="仿宋"/>
          <w:sz w:val="32"/>
        </w:rPr>
        <w:t xml:space="preserve">万元 </w:t>
      </w:r>
      <w:r>
        <w:rPr>
          <w:rFonts w:ascii="仿宋" w:hAnsi="仿宋" w:cs="仿宋" w:eastAsia="仿宋"/>
          <w:sz w:val="32"/>
        </w:rPr>
        <w:t>)，目标值</w:t>
      </w:r>
      <w:r>
        <w:rPr>
          <w:rFonts w:ascii="仿宋" w:hAnsi="仿宋" w:cs="仿宋" w:eastAsia="仿宋"/>
          <w:sz w:val="32"/>
        </w:rPr>
        <w:t>0.802</w:t>
      </w:r>
      <w:r>
        <w:rPr>
          <w:rFonts w:ascii="仿宋" w:hAnsi="仿宋" w:cs="仿宋" w:eastAsia="仿宋"/>
          <w:sz w:val="32"/>
        </w:rPr>
        <w:t>，完成值</w:t>
      </w:r>
      <w:r>
        <w:rPr>
          <w:rFonts w:ascii="仿宋" w:hAnsi="仿宋" w:cs="仿宋" w:eastAsia="仿宋"/>
          <w:sz w:val="32"/>
        </w:rPr>
        <w:t>0.802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1)国家基本药物制度在基层持续实施</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