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2023年基本药物制度补助资金（村卫生所）（赵批【2023】271号、闽财社指【2022】62号(提前下达））直达资金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全县基层医疗卫生机构全面实施国家基本药物制度，所有药品实施零差率销售。药品成本得到有效控制，减轻病人用药负担，稳步推进医改工作。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w:t>
        <w:cr/>
        <w:t>"</w:t>
        <w:cr/>
        <w:t/>
      </w:r>
      <w:r>
        <w:rPr>
          <w:rFonts w:ascii="仿宋" w:hAnsi="仿宋" w:cs="仿宋" w:eastAsia="仿宋"/>
          <w:sz w:val="32"/>
        </w:rPr>
        <w:t>(</w:t>
      </w:r>
      <w:r>
        <w:rPr>
          <w:rFonts w:ascii="仿宋" w:hAnsi="仿宋" w:cs="仿宋" w:eastAsia="仿宋"/>
          <w:sz w:val="32"/>
        </w:rPr>
        <w:t>万元</w:t>
        <w:cr/>
        <w:t/>
      </w:r>
      <w:r>
        <w:rPr>
          <w:rFonts w:ascii="仿宋" w:hAnsi="仿宋" w:cs="仿宋" w:eastAsia="仿宋"/>
          <w:sz w:val="32"/>
        </w:rPr>
        <w:t>)，目标值</w:t>
      </w:r>
      <w:r>
        <w:rPr>
          <w:rFonts w:ascii="仿宋" w:hAnsi="仿宋" w:cs="仿宋" w:eastAsia="仿宋"/>
          <w:sz w:val="32"/>
        </w:rPr>
        <w:t>1.679</w:t>
      </w:r>
      <w:r>
        <w:rPr>
          <w:rFonts w:ascii="仿宋" w:hAnsi="仿宋" w:cs="仿宋" w:eastAsia="仿宋"/>
          <w:sz w:val="32"/>
        </w:rPr>
        <w:t>，完成值</w:t>
      </w:r>
      <w:r>
        <w:rPr>
          <w:rFonts w:ascii="仿宋" w:hAnsi="仿宋" w:cs="仿宋" w:eastAsia="仿宋"/>
          <w:sz w:val="32"/>
        </w:rPr>
        <w:t>1.679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90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