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2023年医疗服务与保障能力提升补助资金（公立医院综合改革补助）（闽财社指【2023】33号）直达资金）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补助资金主要用于优化内部服务设施及医院信息化软件系统以及信息化机房设备升级改造，推进预约诊疗服务，畅通急诊绿色通达，改善患者就医体验，提升患者治疗满意度。</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推进预约诊疗服务，畅通急诊绿色通达，改善患者就医体验，提升患者治疗满意度。</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10</w:t>
      </w:r>
      <w:r>
        <w:rPr>
          <w:rFonts w:ascii="仿宋_GB2312" w:hAnsi="仿宋_GB2312" w:cs="仿宋_GB2312" w:eastAsia="仿宋_GB2312"/>
          <w:sz w:val="32"/>
        </w:rPr>
        <w:t>个，实际完成</w:t>
      </w:r>
      <w:r>
        <w:rPr>
          <w:rFonts w:ascii="仿宋_GB2312" w:hAnsi="仿宋_GB2312" w:cs="仿宋_GB2312" w:eastAsia="仿宋_GB2312"/>
          <w:sz w:val="32"/>
        </w:rPr>
        <w:t>10</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1)资金使用率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1)公立医院医疗服务收入（不含药品、耗材、检查、化验收入）占医疗收入比例</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33.06</w:t>
      </w:r>
      <w:r>
        <w:rPr>
          <w:rFonts w:ascii="仿宋" w:hAnsi="仿宋" w:cs="仿宋" w:eastAsia="仿宋"/>
          <w:sz w:val="32"/>
        </w:rPr>
        <w:t>，完成值</w:t>
      </w:r>
      <w:r>
        <w:rPr>
          <w:rFonts w:ascii="仿宋" w:hAnsi="仿宋" w:cs="仿宋" w:eastAsia="仿宋"/>
          <w:sz w:val="32"/>
        </w:rPr>
        <w:t>35.02</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2)按病种付费的住院参保人员占总住院参保人员的比例</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52</w:t>
      </w:r>
      <w:r>
        <w:rPr>
          <w:rFonts w:ascii="仿宋" w:hAnsi="仿宋" w:cs="仿宋" w:eastAsia="仿宋"/>
          <w:sz w:val="32"/>
        </w:rPr>
        <w:t>，完成值</w:t>
      </w:r>
      <w:r>
        <w:rPr>
          <w:rFonts w:ascii="仿宋" w:hAnsi="仿宋" w:cs="仿宋" w:eastAsia="仿宋"/>
          <w:sz w:val="32"/>
        </w:rPr>
        <w:t>53.44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3)二级以上公立医院安检覆盖率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1)公立医院资产负债</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54.44</w:t>
      </w:r>
      <w:r>
        <w:rPr>
          <w:rFonts w:ascii="仿宋" w:hAnsi="仿宋" w:cs="仿宋" w:eastAsia="仿宋"/>
          <w:sz w:val="32"/>
        </w:rPr>
        <w:t>，完成值</w:t>
      </w:r>
      <w:r>
        <w:rPr>
          <w:rFonts w:ascii="仿宋" w:hAnsi="仿宋" w:cs="仿宋" w:eastAsia="仿宋"/>
          <w:sz w:val="32"/>
        </w:rPr>
        <w:t>47.77</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2)实现收支平衡的公立医院数占公立医院总数的比例</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1)公立医院次均门诊费用增幅</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-0.57</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2)公立医院人均住院费用增幅</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-14.13</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