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重症救治能力再提升项目补助资金 （闽财社指【2023】1号）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根据闽财社指【2023】1号文件要求由相关医院统筹用于重症救治床位（综合ICU）设备配备和提升，保障医院正常运行而设立此项工作经费。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保障医院正常运行而设立此项工作经费。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1)省级财政对可转换ICU床位建设补助金额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1)省级财政资助各设区市县级综合医院建设可转化ICU床位数量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套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1)重症救治能力提升项目采购设备质量合格率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1)财政补助资金及时拨付率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1)县级综合医院（建设单位）可转化ICU床位占开放床位数比例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7.16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1)建设医院患者满意度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91.764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