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2023年卫生健康转移支付省级补助资金（第二批）[（基本公共卫生服务）榕财社（指）【2023】33号、赵批[2023]137号]直达资金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结合服务人口数，完成基本公共卫生服务数量和质量，服务效果和绩效考核结果等要素已使用资金</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30.8658</w:t>
      </w:r>
      <w:r>
        <w:rPr>
          <w:rFonts w:ascii="仿宋" w:hAnsi="仿宋" w:cs="仿宋" w:eastAsia="仿宋"/>
          <w:sz w:val="32"/>
        </w:rPr>
        <w:t>，完成值</w:t>
      </w:r>
      <w:r>
        <w:rPr>
          <w:rFonts w:ascii="仿宋" w:hAnsi="仿宋" w:cs="仿宋" w:eastAsia="仿宋"/>
          <w:sz w:val="32"/>
        </w:rPr>
        <w:t>30.8658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300</w:t>
      </w:r>
      <w:r>
        <w:rPr>
          <w:rFonts w:ascii="仿宋" w:hAnsi="仿宋" w:cs="仿宋" w:eastAsia="仿宋"/>
          <w:sz w:val="32"/>
        </w:rPr>
        <w:t>，完成值</w:t>
      </w:r>
      <w:r>
        <w:rPr>
          <w:rFonts w:ascii="仿宋" w:hAnsi="仿宋" w:cs="仿宋" w:eastAsia="仿宋"/>
          <w:sz w:val="32"/>
        </w:rPr>
        <w:t>411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600</w:t>
      </w:r>
      <w:r>
        <w:rPr>
          <w:rFonts w:ascii="仿宋" w:hAnsi="仿宋" w:cs="仿宋" w:eastAsia="仿宋"/>
          <w:sz w:val="32"/>
        </w:rPr>
        <w:t>，完成值</w:t>
      </w:r>
      <w:r>
        <w:rPr>
          <w:rFonts w:ascii="仿宋" w:hAnsi="仿宋" w:cs="仿宋" w:eastAsia="仿宋"/>
          <w:sz w:val="32"/>
        </w:rPr>
        <w:t>809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