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2023年卫生健康转移支付省级补助资金（第二批）[（基本公共卫生服务）榕财社（指）【2023】33号、赵批[2023]137号]直达资金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按照基本公共卫生服务项目要求，积椎为居民提供了相应的服务，按期完成指标值，累计支出54.4216元，支出率88%。</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cr/>
        <w:t/>
      </w:r>
      <w:r>
        <w:rPr>
          <w:rFonts w:ascii="仿宋" w:hAnsi="仿宋" w:cs="仿宋" w:eastAsia="仿宋"/>
          <w:sz w:val="32"/>
        </w:rPr>
        <w:t>)，目标值</w:t>
      </w:r>
      <w:r>
        <w:rPr>
          <w:rFonts w:ascii="仿宋" w:hAnsi="仿宋" w:cs="仿宋" w:eastAsia="仿宋"/>
          <w:sz w:val="32"/>
        </w:rPr>
        <w:t>61.6696</w:t>
      </w:r>
      <w:r>
        <w:rPr>
          <w:rFonts w:ascii="仿宋" w:hAnsi="仿宋" w:cs="仿宋" w:eastAsia="仿宋"/>
          <w:sz w:val="32"/>
        </w:rPr>
        <w:t>，完成值</w:t>
      </w:r>
      <w:r>
        <w:rPr>
          <w:rFonts w:ascii="仿宋" w:hAnsi="仿宋" w:cs="仿宋" w:eastAsia="仿宋"/>
          <w:sz w:val="32"/>
        </w:rPr>
        <w:t>54.4216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cr/>
        <w:t/>
      </w:r>
      <w:r>
        <w:rPr>
          <w:rFonts w:ascii="仿宋" w:hAnsi="仿宋" w:cs="仿宋" w:eastAsia="仿宋"/>
          <w:sz w:val="32"/>
        </w:rPr>
        <w:t>)，目标值</w:t>
      </w:r>
      <w:r>
        <w:rPr>
          <w:rFonts w:ascii="仿宋" w:hAnsi="仿宋" w:cs="仿宋" w:eastAsia="仿宋"/>
          <w:sz w:val="32"/>
        </w:rPr>
        <w:t>3000</w:t>
      </w:r>
      <w:r>
        <w:rPr>
          <w:rFonts w:ascii="仿宋" w:hAnsi="仿宋" w:cs="仿宋" w:eastAsia="仿宋"/>
          <w:sz w:val="32"/>
        </w:rPr>
        <w:t>，完成值</w:t>
      </w:r>
      <w:r>
        <w:rPr>
          <w:rFonts w:ascii="仿宋" w:hAnsi="仿宋" w:cs="仿宋" w:eastAsia="仿宋"/>
          <w:sz w:val="32"/>
        </w:rPr>
        <w:t>3200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cr/>
        <w:t/>
      </w:r>
      <w:r>
        <w:rPr>
          <w:rFonts w:ascii="仿宋" w:hAnsi="仿宋" w:cs="仿宋" w:eastAsia="仿宋"/>
          <w:sz w:val="32"/>
        </w:rPr>
        <w:t>)，目标值</w:t>
      </w:r>
      <w:r>
        <w:rPr>
          <w:rFonts w:ascii="仿宋" w:hAnsi="仿宋" w:cs="仿宋" w:eastAsia="仿宋"/>
          <w:sz w:val="32"/>
        </w:rPr>
        <w:t>738</w:t>
      </w:r>
      <w:r>
        <w:rPr>
          <w:rFonts w:ascii="仿宋" w:hAnsi="仿宋" w:cs="仿宋" w:eastAsia="仿宋"/>
          <w:sz w:val="32"/>
        </w:rPr>
        <w:t>，完成值</w:t>
      </w:r>
      <w:r>
        <w:rPr>
          <w:rFonts w:ascii="仿宋" w:hAnsi="仿宋" w:cs="仿宋" w:eastAsia="仿宋"/>
          <w:sz w:val="32"/>
        </w:rPr>
        <w:t>975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cr/>
        <w:t/>
      </w:r>
      <w:r>
        <w:rPr>
          <w:rFonts w:ascii="仿宋" w:hAnsi="仿宋" w:cs="仿宋" w:eastAsia="仿宋"/>
          <w:sz w:val="32"/>
        </w:rPr>
        <w:t>(</w:t>
      </w:r>
      <w:r>
        <w:rPr>
          <w:rFonts w:ascii="仿宋" w:hAnsi="仿宋" w:cs="仿宋" w:eastAsia="仿宋"/>
          <w:sz w:val="32"/>
        </w:rPr>
        <w:t>起</w:t>
        <w:cr/>
        <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cr/>
        <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