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2023年卫生健康转移支付省级补助资金（第二批）[（基本公共卫生服务）榕财社（指）【2023】33号、赵批[2023]137号]直达资金</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明确基本公共卫生服务补助资金具体列支范围，并结合服务人口数、完成基本公共卫生服务任务的数量和质量、服务效果和绩效考核的结果等要素分配基本公共卫生服务资金，规范预算执行管理，提高资金使用的社会效益。</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元</w:t>
      </w:r>
      <w:r>
        <w:rPr>
          <w:rFonts w:ascii="仿宋" w:hAnsi="仿宋" w:cs="仿宋" w:eastAsia="仿宋"/>
          <w:sz w:val="32"/>
        </w:rPr>
        <w:t>)，目标值</w:t>
      </w:r>
      <w:r>
        <w:rPr>
          <w:rFonts w:ascii="仿宋" w:hAnsi="仿宋" w:cs="仿宋" w:eastAsia="仿宋"/>
          <w:sz w:val="32"/>
        </w:rPr>
        <w:t>247719</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5214</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150</w:t>
      </w:r>
      <w:r>
        <w:rPr>
          <w:rFonts w:ascii="仿宋" w:hAnsi="仿宋" w:cs="仿宋" w:eastAsia="仿宋"/>
          <w:sz w:val="32"/>
        </w:rPr>
        <w:t>，完成值</w:t>
      </w:r>
      <w:r>
        <w:rPr>
          <w:rFonts w:ascii="仿宋" w:hAnsi="仿宋" w:cs="仿宋" w:eastAsia="仿宋"/>
          <w:sz w:val="32"/>
        </w:rPr>
        <w:t>403</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