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结合服务人口数，完成基本公共卫生服务任务的数量和质量、服务效果和绩效考核的结果等要素分配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64.2913</w:t>
      </w:r>
      <w:r>
        <w:rPr>
          <w:rFonts w:ascii="仿宋" w:hAnsi="仿宋" w:cs="仿宋" w:eastAsia="仿宋"/>
          <w:sz w:val="32"/>
        </w:rPr>
        <w:t>，完成值</w:t>
      </w:r>
      <w:r>
        <w:rPr>
          <w:rFonts w:ascii="仿宋" w:hAnsi="仿宋" w:cs="仿宋" w:eastAsia="仿宋"/>
          <w:sz w:val="32"/>
        </w:rPr>
        <w:t>48.3945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836</w:t>
      </w:r>
      <w:r>
        <w:rPr>
          <w:rFonts w:ascii="仿宋" w:hAnsi="仿宋" w:cs="仿宋" w:eastAsia="仿宋"/>
          <w:sz w:val="32"/>
        </w:rPr>
        <w:t>，完成值</w:t>
      </w:r>
      <w:r>
        <w:rPr>
          <w:rFonts w:ascii="仿宋" w:hAnsi="仿宋" w:cs="仿宋" w:eastAsia="仿宋"/>
          <w:sz w:val="32"/>
        </w:rPr>
        <w:t>841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960</w:t>
      </w:r>
      <w:r>
        <w:rPr>
          <w:rFonts w:ascii="仿宋" w:hAnsi="仿宋" w:cs="仿宋" w:eastAsia="仿宋"/>
          <w:sz w:val="32"/>
        </w:rPr>
        <w:t>，完成值</w:t>
      </w:r>
      <w:r>
        <w:rPr>
          <w:rFonts w:ascii="仿宋" w:hAnsi="仿宋" w:cs="仿宋" w:eastAsia="仿宋"/>
          <w:sz w:val="32"/>
        </w:rPr>
        <w:t>1385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