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2023年省级基本公共卫生补助资金（榕财社（指）【2022】165号、赵批件【2023】96号）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26.1928</w:t>
      </w:r>
      <w:r>
        <w:rPr>
          <w:rFonts w:ascii="仿宋" w:hAnsi="仿宋" w:cs="仿宋" w:eastAsia="仿宋"/>
          <w:sz w:val="32"/>
        </w:rPr>
        <w:t>，完成值</w:t>
      </w:r>
      <w:r>
        <w:rPr>
          <w:rFonts w:ascii="仿宋" w:hAnsi="仿宋" w:cs="仿宋" w:eastAsia="仿宋"/>
          <w:sz w:val="32"/>
        </w:rPr>
        <w:t>19.7565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800</w:t>
      </w:r>
      <w:r>
        <w:rPr>
          <w:rFonts w:ascii="仿宋" w:hAnsi="仿宋" w:cs="仿宋" w:eastAsia="仿宋"/>
          <w:sz w:val="32"/>
        </w:rPr>
        <w:t>，完成值</w:t>
      </w:r>
      <w:r>
        <w:rPr>
          <w:rFonts w:ascii="仿宋" w:hAnsi="仿宋" w:cs="仿宋" w:eastAsia="仿宋"/>
          <w:sz w:val="32"/>
        </w:rPr>
        <w:t>1740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1)因支付未及时引起的纠纷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